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8859" w14:textId="15947EB2" w:rsidR="0083095B" w:rsidRPr="0083095B" w:rsidRDefault="0083095B" w:rsidP="00CE0595">
      <w:pPr>
        <w:spacing w:after="0" w:line="240" w:lineRule="auto"/>
        <w:rPr>
          <w:rFonts w:ascii="Lora" w:eastAsia="Times New Roman" w:hAnsi="Lora" w:cs="Times New Roman"/>
          <w:b/>
          <w:bCs/>
          <w:kern w:val="0"/>
          <w:sz w:val="36"/>
          <w:szCs w:val="36"/>
          <w:lang w:eastAsia="it-IT"/>
          <w14:ligatures w14:val="none"/>
        </w:rPr>
      </w:pPr>
      <w:r w:rsidRPr="0083095B">
        <w:rPr>
          <w:rFonts w:ascii="Lora" w:eastAsia="Times New Roman" w:hAnsi="Lora" w:cs="Times New Roman"/>
          <w:b/>
          <w:bCs/>
          <w:kern w:val="0"/>
          <w:sz w:val="36"/>
          <w:szCs w:val="36"/>
          <w:lang w:eastAsia="it-IT"/>
          <w14:ligatures w14:val="none"/>
        </w:rPr>
        <w:t>REFERENDUM 8/9 GIUGNO 2025: VOTO FUORI SEDE</w:t>
      </w:r>
    </w:p>
    <w:p w14:paraId="54D7B12D" w14:textId="77777777" w:rsidR="0083095B" w:rsidRDefault="0083095B" w:rsidP="00CE0595">
      <w:pPr>
        <w:spacing w:after="0" w:line="240" w:lineRule="auto"/>
        <w:rPr>
          <w:rFonts w:ascii="Lora" w:eastAsia="Times New Roman" w:hAnsi="Lora" w:cs="Times New Roman"/>
          <w:kern w:val="0"/>
          <w:sz w:val="24"/>
          <w:szCs w:val="24"/>
          <w:lang w:eastAsia="it-IT"/>
          <w14:ligatures w14:val="none"/>
        </w:rPr>
      </w:pPr>
    </w:p>
    <w:p w14:paraId="28ABC922" w14:textId="044E8F2F"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In vista delle consultazioni referendarie previste per l'anno 2025, </w:t>
      </w:r>
      <w:r w:rsidRPr="00CE0595">
        <w:rPr>
          <w:rFonts w:ascii="Lora" w:eastAsia="Times New Roman" w:hAnsi="Lora" w:cs="Times New Roman"/>
          <w:b/>
          <w:bCs/>
          <w:kern w:val="0"/>
          <w:sz w:val="24"/>
          <w:szCs w:val="24"/>
          <w:lang w:eastAsia="it-IT"/>
          <w14:ligatures w14:val="none"/>
        </w:rPr>
        <w:t>in programma domenica 8 e lunedì 9 giugno 2025</w:t>
      </w:r>
      <w:r w:rsidRPr="00CE0595">
        <w:rPr>
          <w:rFonts w:ascii="Lora" w:eastAsia="Times New Roman" w:hAnsi="Lora" w:cs="Times New Roman"/>
          <w:kern w:val="0"/>
          <w:sz w:val="24"/>
          <w:szCs w:val="24"/>
          <w:lang w:eastAsia="it-IT"/>
          <w14:ligatures w14:val="none"/>
        </w:rPr>
        <w:t>, </w:t>
      </w:r>
      <w:hyperlink r:id="rId5" w:tgtFrame="_blank" w:tooltip="Decreto-legge n.27/2025 - Disposizioni urgenti per le consultazioni elettorali e referendarie dell'anno 2025" w:history="1">
        <w:r w:rsidRPr="00CE0595">
          <w:rPr>
            <w:rFonts w:ascii="Lora" w:eastAsia="Times New Roman" w:hAnsi="Lora" w:cs="Times New Roman"/>
            <w:b/>
            <w:bCs/>
            <w:color w:val="007A52"/>
            <w:kern w:val="0"/>
            <w:sz w:val="24"/>
            <w:szCs w:val="24"/>
            <w:u w:val="single"/>
            <w:lang w:eastAsia="it-IT"/>
            <w14:ligatures w14:val="none"/>
          </w:rPr>
          <w:t>l'articolo 2 del decreto-legge n.27/2025</w:t>
        </w:r>
      </w:hyperlink>
      <w:r w:rsidRPr="00CE0595">
        <w:rPr>
          <w:rFonts w:ascii="Lora" w:eastAsia="Times New Roman" w:hAnsi="Lora" w:cs="Times New Roman"/>
          <w:kern w:val="0"/>
          <w:sz w:val="24"/>
          <w:szCs w:val="24"/>
          <w:lang w:eastAsia="it-IT"/>
          <w14:ligatures w14:val="none"/>
        </w:rPr>
        <w:t>, pubblicato sulla Gazzetta ufficiale, Serie generale, n.65 del 19 marzo 2025, ha introdotto una disciplina sperimentale per consentire agli elettori temporaneamente domiciliati </w:t>
      </w:r>
      <w:r w:rsidRPr="00CE0595">
        <w:rPr>
          <w:rFonts w:ascii="Lora" w:eastAsia="Times New Roman" w:hAnsi="Lora" w:cs="Times New Roman"/>
          <w:b/>
          <w:bCs/>
          <w:kern w:val="0"/>
          <w:sz w:val="24"/>
          <w:szCs w:val="24"/>
          <w:lang w:eastAsia="it-IT"/>
          <w14:ligatures w14:val="none"/>
        </w:rPr>
        <w:t>in un comune diverso da quello di residenza</w:t>
      </w:r>
      <w:r w:rsidRPr="00CE0595">
        <w:rPr>
          <w:rFonts w:ascii="Lora" w:eastAsia="Times New Roman" w:hAnsi="Lora" w:cs="Times New Roman"/>
          <w:kern w:val="0"/>
          <w:sz w:val="24"/>
          <w:szCs w:val="24"/>
          <w:lang w:eastAsia="it-IT"/>
          <w14:ligatures w14:val="none"/>
        </w:rPr>
        <w:t> (cosiddetti "elettori fuori sede") di esercitare il proprio diritto di voto.</w:t>
      </w:r>
    </w:p>
    <w:p w14:paraId="6F4D6CAC" w14:textId="77777777" w:rsidR="0083095B" w:rsidRDefault="0083095B" w:rsidP="0083095B">
      <w:pPr>
        <w:spacing w:after="0" w:line="240" w:lineRule="auto"/>
        <w:jc w:val="both"/>
        <w:rPr>
          <w:rFonts w:ascii="Lora" w:eastAsia="Times New Roman" w:hAnsi="Lora" w:cs="Times New Roman"/>
          <w:b/>
          <w:bCs/>
          <w:kern w:val="0"/>
          <w:sz w:val="24"/>
          <w:szCs w:val="24"/>
          <w:lang w:eastAsia="it-IT"/>
          <w14:ligatures w14:val="none"/>
        </w:rPr>
      </w:pPr>
    </w:p>
    <w:p w14:paraId="512D229B" w14:textId="64A028E3" w:rsid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b/>
          <w:bCs/>
          <w:kern w:val="0"/>
          <w:sz w:val="24"/>
          <w:szCs w:val="24"/>
          <w:lang w:eastAsia="it-IT"/>
          <w14:ligatures w14:val="none"/>
        </w:rPr>
        <w:t>Gli elettori che, per motivi di studio, lavoro o cure mediche</w:t>
      </w:r>
      <w:r w:rsidRPr="00CE0595">
        <w:rPr>
          <w:rFonts w:ascii="Lora" w:eastAsia="Times New Roman" w:hAnsi="Lora" w:cs="Times New Roman"/>
          <w:kern w:val="0"/>
          <w:sz w:val="24"/>
          <w:szCs w:val="24"/>
          <w:lang w:eastAsia="it-IT"/>
          <w14:ligatures w14:val="none"/>
        </w:rPr>
        <w:t>, sono temporaneamente domiciliati in un comune situato in una provincia diversa da quella di residenza, per un periodo di almeno tre mesi che comprende la data delle consultazioni referendarie, potranno votare nel comune dove si trovano.</w:t>
      </w:r>
    </w:p>
    <w:p w14:paraId="55B49EE5" w14:textId="77777777" w:rsidR="0083095B" w:rsidRPr="00CE0595" w:rsidRDefault="0083095B" w:rsidP="0083095B">
      <w:pPr>
        <w:spacing w:after="0" w:line="240" w:lineRule="auto"/>
        <w:jc w:val="both"/>
        <w:rPr>
          <w:rFonts w:ascii="Lora" w:eastAsia="Times New Roman" w:hAnsi="Lora" w:cs="Times New Roman"/>
          <w:kern w:val="0"/>
          <w:sz w:val="24"/>
          <w:szCs w:val="24"/>
          <w:lang w:eastAsia="it-IT"/>
          <w14:ligatures w14:val="none"/>
        </w:rPr>
      </w:pPr>
    </w:p>
    <w:p w14:paraId="4B956ED2" w14:textId="77777777" w:rsidR="00CE0595" w:rsidRPr="00CE0595" w:rsidRDefault="00CE0595" w:rsidP="0083095B">
      <w:pPr>
        <w:spacing w:after="120" w:line="240" w:lineRule="auto"/>
        <w:jc w:val="both"/>
        <w:outlineLvl w:val="2"/>
        <w:rPr>
          <w:rFonts w:ascii="Lora" w:eastAsia="Times New Roman" w:hAnsi="Lora" w:cs="Times New Roman"/>
          <w:b/>
          <w:bCs/>
          <w:kern w:val="0"/>
          <w:sz w:val="27"/>
          <w:szCs w:val="27"/>
          <w:lang w:eastAsia="it-IT"/>
          <w14:ligatures w14:val="none"/>
        </w:rPr>
      </w:pPr>
      <w:r w:rsidRPr="00CE0595">
        <w:rPr>
          <w:rFonts w:ascii="Lora" w:eastAsia="Times New Roman" w:hAnsi="Lora" w:cs="Times New Roman"/>
          <w:b/>
          <w:bCs/>
          <w:kern w:val="0"/>
          <w:sz w:val="27"/>
          <w:szCs w:val="27"/>
          <w:lang w:eastAsia="it-IT"/>
          <w14:ligatures w14:val="none"/>
        </w:rPr>
        <w:t>Modalità di richiesta per il voto fuori sede</w:t>
      </w:r>
    </w:p>
    <w:p w14:paraId="3EC95850"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Gli elettori fuori sede dovranno presentare una domanda per l'ammissione al voto </w:t>
      </w:r>
      <w:r w:rsidRPr="00CE0595">
        <w:rPr>
          <w:rFonts w:ascii="Lora" w:eastAsia="Times New Roman" w:hAnsi="Lora" w:cs="Times New Roman"/>
          <w:b/>
          <w:bCs/>
          <w:kern w:val="0"/>
          <w:sz w:val="24"/>
          <w:szCs w:val="24"/>
          <w:lang w:eastAsia="it-IT"/>
          <w14:ligatures w14:val="none"/>
        </w:rPr>
        <w:t>nel comune di temporaneo domicilio</w:t>
      </w:r>
      <w:r w:rsidRPr="00CE0595">
        <w:rPr>
          <w:rFonts w:ascii="Lora" w:eastAsia="Times New Roman" w:hAnsi="Lora" w:cs="Times New Roman"/>
          <w:kern w:val="0"/>
          <w:sz w:val="24"/>
          <w:szCs w:val="24"/>
          <w:lang w:eastAsia="it-IT"/>
          <w14:ligatures w14:val="none"/>
        </w:rPr>
        <w:t> </w:t>
      </w:r>
      <w:hyperlink r:id="rId6" w:history="1">
        <w:r w:rsidRPr="00CE0595">
          <w:rPr>
            <w:rFonts w:ascii="Lora" w:eastAsia="Times New Roman" w:hAnsi="Lora" w:cs="Times New Roman"/>
            <w:b/>
            <w:bCs/>
            <w:color w:val="007A52"/>
            <w:kern w:val="0"/>
            <w:sz w:val="24"/>
            <w:szCs w:val="24"/>
            <w:u w:val="single"/>
            <w:lang w:eastAsia="it-IT"/>
            <w14:ligatures w14:val="none"/>
          </w:rPr>
          <w:t>compilando l'apposito modulo online</w:t>
        </w:r>
      </w:hyperlink>
      <w:r w:rsidRPr="00CE0595">
        <w:rPr>
          <w:rFonts w:ascii="Lora" w:eastAsia="Times New Roman" w:hAnsi="Lora" w:cs="Times New Roman"/>
          <w:kern w:val="0"/>
          <w:sz w:val="24"/>
          <w:szCs w:val="24"/>
          <w:lang w:eastAsia="it-IT"/>
          <w14:ligatures w14:val="none"/>
        </w:rPr>
        <w:t> messo a disposizione dal Ministero dell'Interno, che potrà essere presentato agli uffici competenti personalmente o tramite delegato; </w:t>
      </w:r>
      <w:r w:rsidRPr="00CE0595">
        <w:rPr>
          <w:rFonts w:ascii="Lora" w:eastAsia="Times New Roman" w:hAnsi="Lora" w:cs="Times New Roman"/>
          <w:b/>
          <w:bCs/>
          <w:kern w:val="0"/>
          <w:sz w:val="24"/>
          <w:szCs w:val="24"/>
          <w:lang w:eastAsia="it-IT"/>
          <w14:ligatures w14:val="none"/>
        </w:rPr>
        <w:t>in alternativa si potrà </w:t>
      </w:r>
      <w:hyperlink r:id="rId7" w:history="1">
        <w:r w:rsidRPr="00CE0595">
          <w:rPr>
            <w:rFonts w:ascii="Lora" w:eastAsia="Times New Roman" w:hAnsi="Lora" w:cs="Times New Roman"/>
            <w:b/>
            <w:bCs/>
            <w:color w:val="007A52"/>
            <w:kern w:val="0"/>
            <w:sz w:val="24"/>
            <w:szCs w:val="24"/>
            <w:u w:val="single"/>
            <w:lang w:eastAsia="it-IT"/>
            <w14:ligatures w14:val="none"/>
          </w:rPr>
          <w:t>COMPILARE L'ISTANZA ONLINE</w:t>
        </w:r>
      </w:hyperlink>
      <w:r w:rsidRPr="00CE0595">
        <w:rPr>
          <w:rFonts w:ascii="Lora" w:eastAsia="Times New Roman" w:hAnsi="Lora" w:cs="Times New Roman"/>
          <w:b/>
          <w:bCs/>
          <w:kern w:val="0"/>
          <w:sz w:val="24"/>
          <w:szCs w:val="24"/>
          <w:lang w:eastAsia="it-IT"/>
          <w14:ligatures w14:val="none"/>
        </w:rPr>
        <w:t>.</w:t>
      </w:r>
    </w:p>
    <w:p w14:paraId="4D4DCFBA"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La domanda deve essere presentata </w:t>
      </w:r>
      <w:r w:rsidRPr="00CE0595">
        <w:rPr>
          <w:rFonts w:ascii="Lora" w:eastAsia="Times New Roman" w:hAnsi="Lora" w:cs="Times New Roman"/>
          <w:b/>
          <w:bCs/>
          <w:kern w:val="0"/>
          <w:sz w:val="24"/>
          <w:szCs w:val="24"/>
          <w:lang w:eastAsia="it-IT"/>
          <w14:ligatures w14:val="none"/>
        </w:rPr>
        <w:t>entro il 4 maggio 2025</w:t>
      </w:r>
      <w:r w:rsidRPr="00CE0595">
        <w:rPr>
          <w:rFonts w:ascii="Lora" w:eastAsia="Times New Roman" w:hAnsi="Lora" w:cs="Times New Roman"/>
          <w:kern w:val="0"/>
          <w:sz w:val="24"/>
          <w:szCs w:val="24"/>
          <w:lang w:eastAsia="it-IT"/>
          <w14:ligatures w14:val="none"/>
        </w:rPr>
        <w:t> e </w:t>
      </w:r>
      <w:r w:rsidRPr="00CE0595">
        <w:rPr>
          <w:rFonts w:ascii="Lora" w:eastAsia="Times New Roman" w:hAnsi="Lora" w:cs="Times New Roman"/>
          <w:b/>
          <w:bCs/>
          <w:kern w:val="0"/>
          <w:sz w:val="24"/>
          <w:szCs w:val="24"/>
          <w:lang w:eastAsia="it-IT"/>
          <w14:ligatures w14:val="none"/>
        </w:rPr>
        <w:t>può essere revocata fino al 14 maggio 2025</w:t>
      </w:r>
      <w:r w:rsidRPr="00CE0595">
        <w:rPr>
          <w:rFonts w:ascii="Lora" w:eastAsia="Times New Roman" w:hAnsi="Lora" w:cs="Times New Roman"/>
          <w:kern w:val="0"/>
          <w:sz w:val="24"/>
          <w:szCs w:val="24"/>
          <w:lang w:eastAsia="it-IT"/>
          <w14:ligatures w14:val="none"/>
        </w:rPr>
        <w:t>.</w:t>
      </w:r>
    </w:p>
    <w:p w14:paraId="3D26E42B"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Nella domanda l'interessato può manifestare la disponibilità a essere nominato/a presidente o componente di sezione elettorale speciale per il voto degli elettori fuori sede presso il Comune di temporaneo domicilio.</w:t>
      </w:r>
    </w:p>
    <w:p w14:paraId="180C180C" w14:textId="77777777" w:rsidR="00CE0595" w:rsidRPr="00CE0595" w:rsidRDefault="00CE0595" w:rsidP="0083095B">
      <w:pPr>
        <w:spacing w:after="120" w:line="240" w:lineRule="auto"/>
        <w:jc w:val="both"/>
        <w:outlineLvl w:val="3"/>
        <w:rPr>
          <w:rFonts w:ascii="Lora" w:eastAsia="Times New Roman" w:hAnsi="Lora" w:cs="Times New Roman"/>
          <w:b/>
          <w:bCs/>
          <w:kern w:val="0"/>
          <w:sz w:val="24"/>
          <w:szCs w:val="24"/>
          <w:lang w:eastAsia="it-IT"/>
          <w14:ligatures w14:val="none"/>
        </w:rPr>
      </w:pPr>
      <w:r w:rsidRPr="00CE0595">
        <w:rPr>
          <w:rFonts w:ascii="Lora" w:eastAsia="Times New Roman" w:hAnsi="Lora" w:cs="Times New Roman"/>
          <w:b/>
          <w:bCs/>
          <w:kern w:val="0"/>
          <w:sz w:val="24"/>
          <w:szCs w:val="24"/>
          <w:lang w:eastAsia="it-IT"/>
          <w14:ligatures w14:val="none"/>
        </w:rPr>
        <w:t>Alla domanda dovranno essere allegati:</w:t>
      </w:r>
    </w:p>
    <w:p w14:paraId="23033058" w14:textId="77777777" w:rsidR="00CE0595" w:rsidRPr="00CE0595" w:rsidRDefault="00CE0595" w:rsidP="0083095B">
      <w:pPr>
        <w:numPr>
          <w:ilvl w:val="0"/>
          <w:numId w:val="1"/>
        </w:numPr>
        <w:spacing w:before="100" w:beforeAutospacing="1" w:after="100" w:afterAutospacing="1"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Copia di un documento di riconoscimento valido</w:t>
      </w:r>
    </w:p>
    <w:p w14:paraId="4C626B59" w14:textId="77777777" w:rsidR="00CE0595" w:rsidRPr="00CE0595" w:rsidRDefault="00CE0595" w:rsidP="0083095B">
      <w:pPr>
        <w:numPr>
          <w:ilvl w:val="0"/>
          <w:numId w:val="1"/>
        </w:numPr>
        <w:spacing w:before="100" w:beforeAutospacing="1" w:after="100" w:afterAutospacing="1"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Copia della tessera elettorale</w:t>
      </w:r>
    </w:p>
    <w:p w14:paraId="76BD04D4" w14:textId="77777777" w:rsidR="00CE0595" w:rsidRPr="00CE0595" w:rsidRDefault="00CE0595" w:rsidP="0083095B">
      <w:pPr>
        <w:numPr>
          <w:ilvl w:val="0"/>
          <w:numId w:val="1"/>
        </w:numPr>
        <w:spacing w:before="100" w:beforeAutospacing="1" w:after="100" w:afterAutospacing="1"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Copia della certificazione attestante la condizione di elettore fuori sede (studio, lavoro o cure mediche)</w:t>
      </w:r>
    </w:p>
    <w:p w14:paraId="4C6F2E81" w14:textId="77777777" w:rsidR="00CE0595" w:rsidRPr="00CE0595" w:rsidRDefault="00CE0595" w:rsidP="0083095B">
      <w:pPr>
        <w:spacing w:after="120" w:line="240" w:lineRule="auto"/>
        <w:jc w:val="both"/>
        <w:outlineLvl w:val="2"/>
        <w:rPr>
          <w:rFonts w:ascii="Lora" w:eastAsia="Times New Roman" w:hAnsi="Lora" w:cs="Times New Roman"/>
          <w:b/>
          <w:bCs/>
          <w:kern w:val="0"/>
          <w:sz w:val="27"/>
          <w:szCs w:val="27"/>
          <w:lang w:eastAsia="it-IT"/>
          <w14:ligatures w14:val="none"/>
        </w:rPr>
      </w:pPr>
      <w:r w:rsidRPr="00CE0595">
        <w:rPr>
          <w:rFonts w:ascii="Lora" w:eastAsia="Times New Roman" w:hAnsi="Lora" w:cs="Times New Roman"/>
          <w:b/>
          <w:bCs/>
          <w:kern w:val="0"/>
          <w:sz w:val="27"/>
          <w:szCs w:val="27"/>
          <w:lang w:eastAsia="it-IT"/>
          <w14:ligatures w14:val="none"/>
        </w:rPr>
        <w:t>Procedura di accettazione e ammissione al voto</w:t>
      </w:r>
    </w:p>
    <w:p w14:paraId="6057DD82"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b/>
          <w:bCs/>
          <w:kern w:val="0"/>
          <w:sz w:val="24"/>
          <w:szCs w:val="24"/>
          <w:lang w:eastAsia="it-IT"/>
          <w14:ligatures w14:val="none"/>
        </w:rPr>
        <w:t>Il comune di temporaneo domicilio, entro il ventesimo</w:t>
      </w:r>
      <w:r w:rsidRPr="00CE0595">
        <w:rPr>
          <w:rFonts w:ascii="Lora" w:eastAsia="Times New Roman" w:hAnsi="Lora" w:cs="Times New Roman"/>
          <w:kern w:val="0"/>
          <w:sz w:val="24"/>
          <w:szCs w:val="24"/>
          <w:lang w:eastAsia="it-IT"/>
          <w14:ligatures w14:val="none"/>
        </w:rPr>
        <w:t> giorno prima della consultazione, acquisirà la conferma dal comune di residenza sull’ammissibilità dell’elettore al diritto di voto.</w:t>
      </w:r>
    </w:p>
    <w:p w14:paraId="25D9AB7B"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Successivamente, </w:t>
      </w:r>
      <w:r w:rsidRPr="00CE0595">
        <w:rPr>
          <w:rFonts w:ascii="Lora" w:eastAsia="Times New Roman" w:hAnsi="Lora" w:cs="Times New Roman"/>
          <w:b/>
          <w:bCs/>
          <w:kern w:val="0"/>
          <w:sz w:val="24"/>
          <w:szCs w:val="24"/>
          <w:lang w:eastAsia="it-IT"/>
          <w14:ligatures w14:val="none"/>
        </w:rPr>
        <w:t>entro il 3 giugno 2025</w:t>
      </w:r>
      <w:r w:rsidRPr="00CE0595">
        <w:rPr>
          <w:rFonts w:ascii="Lora" w:eastAsia="Times New Roman" w:hAnsi="Lora" w:cs="Times New Roman"/>
          <w:kern w:val="0"/>
          <w:sz w:val="24"/>
          <w:szCs w:val="24"/>
          <w:lang w:eastAsia="it-IT"/>
          <w14:ligatures w14:val="none"/>
        </w:rPr>
        <w:t>, ossia entro il quinto giorno precedente la consultazione, sarà rilasciata un'attestazione di ammissione al voto, che indicherà il numero e l'indirizzo della sezione elettorale dove l'elettore dovrà recarsi per votare.</w:t>
      </w:r>
    </w:p>
    <w:p w14:paraId="2A944CB3" w14:textId="77777777" w:rsidR="00CE0595" w:rsidRPr="00CE0595" w:rsidRDefault="00CE0595" w:rsidP="0083095B">
      <w:pPr>
        <w:spacing w:after="120" w:line="240" w:lineRule="auto"/>
        <w:jc w:val="both"/>
        <w:outlineLvl w:val="2"/>
        <w:rPr>
          <w:rFonts w:ascii="Lora" w:eastAsia="Times New Roman" w:hAnsi="Lora" w:cs="Times New Roman"/>
          <w:b/>
          <w:bCs/>
          <w:kern w:val="0"/>
          <w:sz w:val="27"/>
          <w:szCs w:val="27"/>
          <w:lang w:eastAsia="it-IT"/>
          <w14:ligatures w14:val="none"/>
        </w:rPr>
      </w:pPr>
      <w:r w:rsidRPr="00CE0595">
        <w:rPr>
          <w:rFonts w:ascii="Lora" w:eastAsia="Times New Roman" w:hAnsi="Lora" w:cs="Times New Roman"/>
          <w:b/>
          <w:bCs/>
          <w:kern w:val="0"/>
          <w:sz w:val="27"/>
          <w:szCs w:val="27"/>
          <w:lang w:eastAsia="it-IT"/>
          <w14:ligatures w14:val="none"/>
        </w:rPr>
        <w:t>Voto e Identificazione</w:t>
      </w:r>
    </w:p>
    <w:p w14:paraId="164F3FA7" w14:textId="77777777" w:rsidR="00CE0595" w:rsidRPr="00CE0595" w:rsidRDefault="00CE0595" w:rsidP="0083095B">
      <w:pPr>
        <w:spacing w:after="0" w:line="240" w:lineRule="auto"/>
        <w:jc w:val="both"/>
        <w:rPr>
          <w:rFonts w:ascii="Lora" w:eastAsia="Times New Roman" w:hAnsi="Lora" w:cs="Times New Roman"/>
          <w:kern w:val="0"/>
          <w:sz w:val="24"/>
          <w:szCs w:val="24"/>
          <w:lang w:eastAsia="it-IT"/>
          <w14:ligatures w14:val="none"/>
        </w:rPr>
      </w:pPr>
      <w:r w:rsidRPr="00CE0595">
        <w:rPr>
          <w:rFonts w:ascii="Lora" w:eastAsia="Times New Roman" w:hAnsi="Lora" w:cs="Times New Roman"/>
          <w:kern w:val="0"/>
          <w:sz w:val="24"/>
          <w:szCs w:val="24"/>
          <w:lang w:eastAsia="it-IT"/>
          <w14:ligatures w14:val="none"/>
        </w:rPr>
        <w:t>Per votare, gli elettori fuori sede dovranno presentarsi al seggio </w:t>
      </w:r>
      <w:r w:rsidRPr="00CE0595">
        <w:rPr>
          <w:rFonts w:ascii="Lora" w:eastAsia="Times New Roman" w:hAnsi="Lora" w:cs="Times New Roman"/>
          <w:b/>
          <w:bCs/>
          <w:kern w:val="0"/>
          <w:sz w:val="24"/>
          <w:szCs w:val="24"/>
          <w:lang w:eastAsia="it-IT"/>
          <w14:ligatures w14:val="none"/>
        </w:rPr>
        <w:t>con l'originale del valido documento di riconoscimento, della tessera elettorale e l’attestazione di ammissione al voto rilasciata dal comune di temporaneo domicilio</w:t>
      </w:r>
      <w:r w:rsidRPr="00CE0595">
        <w:rPr>
          <w:rFonts w:ascii="Lora" w:eastAsia="Times New Roman" w:hAnsi="Lora" w:cs="Times New Roman"/>
          <w:kern w:val="0"/>
          <w:sz w:val="24"/>
          <w:szCs w:val="24"/>
          <w:lang w:eastAsia="it-IT"/>
          <w14:ligatures w14:val="none"/>
        </w:rPr>
        <w:t>.</w:t>
      </w:r>
    </w:p>
    <w:p w14:paraId="412E6478" w14:textId="77777777" w:rsidR="002F3078" w:rsidRDefault="002F3078" w:rsidP="0083095B">
      <w:pPr>
        <w:jc w:val="both"/>
      </w:pPr>
    </w:p>
    <w:sectPr w:rsidR="002F30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67B"/>
    <w:multiLevelType w:val="multilevel"/>
    <w:tmpl w:val="A35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949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95"/>
    <w:rsid w:val="001C28CB"/>
    <w:rsid w:val="002F3078"/>
    <w:rsid w:val="0083095B"/>
    <w:rsid w:val="00CE0595"/>
    <w:rsid w:val="00CF4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F6A0"/>
  <w15:chartTrackingRefBased/>
  <w15:docId w15:val="{0C7B65C1-7F6B-4514-97E3-0E113565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0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E0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E05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E05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E05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E05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05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05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05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05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E05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E05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E05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E05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E05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05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05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05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0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05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05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05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05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0595"/>
    <w:rPr>
      <w:i/>
      <w:iCs/>
      <w:color w:val="404040" w:themeColor="text1" w:themeTint="BF"/>
    </w:rPr>
  </w:style>
  <w:style w:type="paragraph" w:styleId="Paragrafoelenco">
    <w:name w:val="List Paragraph"/>
    <w:basedOn w:val="Normale"/>
    <w:uiPriority w:val="34"/>
    <w:qFormat/>
    <w:rsid w:val="00CE0595"/>
    <w:pPr>
      <w:ind w:left="720"/>
      <w:contextualSpacing/>
    </w:pPr>
  </w:style>
  <w:style w:type="character" w:styleId="Enfasiintensa">
    <w:name w:val="Intense Emphasis"/>
    <w:basedOn w:val="Carpredefinitoparagrafo"/>
    <w:uiPriority w:val="21"/>
    <w:qFormat/>
    <w:rsid w:val="00CE0595"/>
    <w:rPr>
      <w:i/>
      <w:iCs/>
      <w:color w:val="2F5496" w:themeColor="accent1" w:themeShade="BF"/>
    </w:rPr>
  </w:style>
  <w:style w:type="paragraph" w:styleId="Citazioneintensa">
    <w:name w:val="Intense Quote"/>
    <w:basedOn w:val="Normale"/>
    <w:next w:val="Normale"/>
    <w:link w:val="CitazioneintensaCarattere"/>
    <w:uiPriority w:val="30"/>
    <w:qFormat/>
    <w:rsid w:val="00CE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E0595"/>
    <w:rPr>
      <w:i/>
      <w:iCs/>
      <w:color w:val="2F5496" w:themeColor="accent1" w:themeShade="BF"/>
    </w:rPr>
  </w:style>
  <w:style w:type="character" w:styleId="Riferimentointenso">
    <w:name w:val="Intense Reference"/>
    <w:basedOn w:val="Carpredefinitoparagrafo"/>
    <w:uiPriority w:val="32"/>
    <w:qFormat/>
    <w:rsid w:val="00CE0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922551">
      <w:bodyDiv w:val="1"/>
      <w:marLeft w:val="0"/>
      <w:marRight w:val="0"/>
      <w:marTop w:val="0"/>
      <w:marBottom w:val="0"/>
      <w:divBdr>
        <w:top w:val="none" w:sz="0" w:space="0" w:color="auto"/>
        <w:left w:val="none" w:sz="0" w:space="0" w:color="auto"/>
        <w:bottom w:val="none" w:sz="0" w:space="0" w:color="auto"/>
        <w:right w:val="none" w:sz="0" w:space="0" w:color="auto"/>
      </w:divBdr>
      <w:divsChild>
        <w:div w:id="57155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pa.comune.siracusa.it/portal/servizi/moduli/403/mod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o.gov.it/sites/default/files/2025-04/referendum_2025-voto_fuori_sede-domanda_editabile.pdf" TargetMode="External"/><Relationship Id="rId5" Type="http://schemas.openxmlformats.org/officeDocument/2006/relationships/hyperlink" Target="https://www.normattiva.it/uri-res/N2Ls?urn:nir:stato:decreto.legge:2025-03-19;27!vig=2025-04-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2025-04-12T12:30:00Z</dcterms:created>
  <dcterms:modified xsi:type="dcterms:W3CDTF">2025-04-12T12:33:00Z</dcterms:modified>
</cp:coreProperties>
</file>